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Block: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0B1071" w:rsidRP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:rsidR="000B1071" w:rsidRPr="005B48B0" w:rsidRDefault="000B1071" w:rsidP="000B10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5B48B0">
        <w:rPr>
          <w:rFonts w:ascii="Calibri" w:hAnsi="Calibri" w:cs="Calibri"/>
          <w:b/>
          <w:sz w:val="32"/>
        </w:rPr>
        <w:t>Social Studie</w:t>
      </w:r>
      <w:r w:rsidR="005B48B0" w:rsidRPr="005B48B0">
        <w:rPr>
          <w:rFonts w:ascii="Calibri" w:hAnsi="Calibri" w:cs="Calibri"/>
          <w:b/>
          <w:sz w:val="32"/>
        </w:rPr>
        <w:t>s 8: Current Events Assignment 4</w:t>
      </w:r>
    </w:p>
    <w:p w:rsid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0B1071" w:rsidRDefault="005B48B0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will be your last current event presentation</w:t>
      </w:r>
      <w:r w:rsidR="00D4092B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 You will be presenting in front of the class on an event that happened within the past couple of months.  You will use the below sheet as a template for your own notes.  (P</w:t>
      </w:r>
      <w:r w:rsidR="00D4092B">
        <w:rPr>
          <w:rFonts w:ascii="Calibri" w:hAnsi="Calibri" w:cs="Calibri"/>
        </w:rPr>
        <w:t>lease give me your extra notes, too!)</w:t>
      </w:r>
    </w:p>
    <w:p w:rsidR="005B48B0" w:rsidRDefault="005B48B0" w:rsidP="005B48B0">
      <w:pPr>
        <w:pStyle w:val="NoSpacing"/>
      </w:pPr>
    </w:p>
    <w:p w:rsidR="005B48B0" w:rsidRPr="005B48B0" w:rsidRDefault="005B48B0" w:rsidP="005B48B0">
      <w:pPr>
        <w:pStyle w:val="NoSpacing"/>
        <w:rPr>
          <w:b/>
        </w:rPr>
      </w:pPr>
      <w:r w:rsidRPr="005B48B0">
        <w:rPr>
          <w:b/>
        </w:rPr>
        <w:t>For BONUS POINTS, you can compare the current event you are presenting on to something that has happened already in world history.</w:t>
      </w:r>
    </w:p>
    <w:p w:rsidR="005B48B0" w:rsidRPr="000B1071" w:rsidRDefault="005B48B0" w:rsidP="005B48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1071" w:rsidTr="000B1071"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Background information: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Consider Who, What, When,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Why, Where, How Come?</w:t>
            </w: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makes this image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important</w:t>
            </w:r>
            <w:proofErr w:type="gramEnd"/>
            <w:r>
              <w:rPr>
                <w:rFonts w:ascii="Calibri" w:hAnsi="Calibri" w:cs="Calibri"/>
              </w:rPr>
              <w:t xml:space="preserve"> to the world? To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Canada?</w:t>
            </w: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there any dissenting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opinions</w:t>
            </w:r>
            <w:proofErr w:type="gramEnd"/>
            <w:r>
              <w:rPr>
                <w:rFonts w:ascii="Calibri" w:hAnsi="Calibri" w:cs="Calibri"/>
              </w:rPr>
              <w:t xml:space="preserve"> concerning this event?</w:t>
            </w:r>
          </w:p>
        </w:tc>
      </w:tr>
      <w:tr w:rsidR="000B1071" w:rsidTr="005B48B0">
        <w:trPr>
          <w:trHeight w:val="1788"/>
        </w:trPr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P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Pr="000B1071" w:rsidRDefault="000B1071" w:rsidP="000B1071">
            <w:pPr>
              <w:tabs>
                <w:tab w:val="left" w:pos="211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1071" w:rsidTr="005B48B0">
        <w:trPr>
          <w:trHeight w:val="1018"/>
        </w:trPr>
        <w:tc>
          <w:tcPr>
            <w:tcW w:w="9576" w:type="dxa"/>
            <w:gridSpan w:val="3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Think of a question you still have about this event or one that you’d like to ask </w:t>
            </w:r>
            <w:r w:rsidR="005B48B0">
              <w:rPr>
                <w:rFonts w:ascii="Calibri" w:hAnsi="Calibri" w:cs="Calibri"/>
              </w:rPr>
              <w:t>the class</w:t>
            </w:r>
            <w:r>
              <w:rPr>
                <w:rFonts w:ascii="Calibri" w:hAnsi="Calibri" w:cs="Calibri"/>
              </w:rPr>
              <w:t>: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B48B0" w:rsidTr="00E43B37">
        <w:tc>
          <w:tcPr>
            <w:tcW w:w="9576" w:type="dxa"/>
            <w:gridSpan w:val="3"/>
          </w:tcPr>
          <w:p w:rsidR="005B48B0" w:rsidRDefault="005B48B0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Bonus: What is an event in world history that is similar to your current event?</w:t>
            </w:r>
          </w:p>
          <w:p w:rsidR="005B48B0" w:rsidRDefault="005B48B0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8B0" w:rsidRDefault="005B48B0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48B0" w:rsidRDefault="005B48B0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119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494"/>
        <w:gridCol w:w="2494"/>
        <w:gridCol w:w="2494"/>
        <w:gridCol w:w="2015"/>
      </w:tblGrid>
      <w:tr w:rsidR="000B1071" w:rsidRPr="00A124FA" w:rsidTr="00D4092B">
        <w:tc>
          <w:tcPr>
            <w:tcW w:w="11199" w:type="dxa"/>
            <w:gridSpan w:val="5"/>
            <w:shd w:val="clear" w:color="auto" w:fill="D9D9D9" w:themeFill="background1" w:themeFillShade="D9"/>
          </w:tcPr>
          <w:p w:rsidR="000B1071" w:rsidRPr="00A124FA" w:rsidRDefault="000B1071" w:rsidP="006D03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B: Investigating</w:t>
            </w:r>
          </w:p>
        </w:tc>
      </w:tr>
      <w:tr w:rsidR="000B1071" w:rsidRPr="00A124FA" w:rsidTr="00D4092B">
        <w:trPr>
          <w:trHeight w:val="113"/>
        </w:trPr>
        <w:tc>
          <w:tcPr>
            <w:tcW w:w="1702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0B1071" w:rsidRPr="00F5076E" w:rsidTr="00D4092B">
        <w:trPr>
          <w:trHeight w:val="1031"/>
        </w:trPr>
        <w:tc>
          <w:tcPr>
            <w:tcW w:w="1702" w:type="dxa"/>
          </w:tcPr>
          <w:p w:rsidR="000B1071" w:rsidRPr="00D17FBF" w:rsidRDefault="000B1071" w:rsidP="006D0337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collect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record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limited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irrelevant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 method(s)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B1071" w:rsidRPr="00F5076E" w:rsidRDefault="000B1071" w:rsidP="000B107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B1071" w:rsidRPr="00F5076E" w:rsidRDefault="000B1071" w:rsidP="000B107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5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D4092B" w:rsidRPr="00A124FA" w:rsidTr="00D4092B">
        <w:tc>
          <w:tcPr>
            <w:tcW w:w="11199" w:type="dxa"/>
            <w:gridSpan w:val="5"/>
            <w:shd w:val="clear" w:color="auto" w:fill="D9D9D9" w:themeFill="background1" w:themeFillShade="D9"/>
          </w:tcPr>
          <w:p w:rsidR="00D4092B" w:rsidRPr="00A124FA" w:rsidRDefault="00D4092B" w:rsidP="00F07D1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D4092B" w:rsidRPr="00A124FA" w:rsidTr="00D4092B">
        <w:tc>
          <w:tcPr>
            <w:tcW w:w="1702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D4092B" w:rsidRPr="00F5076E" w:rsidTr="00D4092B">
        <w:tc>
          <w:tcPr>
            <w:tcW w:w="1702" w:type="dxa"/>
          </w:tcPr>
          <w:p w:rsidR="00D4092B" w:rsidRPr="00401111" w:rsidRDefault="00D4092B" w:rsidP="00F07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not always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</w:tc>
      </w:tr>
      <w:tr w:rsidR="00D4092B" w:rsidRPr="00A124FA" w:rsidTr="00D4092B">
        <w:tc>
          <w:tcPr>
            <w:tcW w:w="11199" w:type="dxa"/>
            <w:gridSpan w:val="5"/>
            <w:shd w:val="clear" w:color="auto" w:fill="D9D9D9" w:themeFill="background1" w:themeFillShade="D9"/>
          </w:tcPr>
          <w:p w:rsidR="00D4092B" w:rsidRPr="00A124FA" w:rsidRDefault="00D4092B" w:rsidP="00F07D14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Thinking Critically</w:t>
            </w:r>
          </w:p>
        </w:tc>
      </w:tr>
      <w:tr w:rsidR="00D4092B" w:rsidRPr="00A124FA" w:rsidTr="00D4092B">
        <w:tc>
          <w:tcPr>
            <w:tcW w:w="1702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D4092B" w:rsidRPr="00F5076E" w:rsidTr="00D4092B">
        <w:tc>
          <w:tcPr>
            <w:tcW w:w="1702" w:type="dxa"/>
          </w:tcPr>
          <w:p w:rsidR="00D4092B" w:rsidRPr="00401111" w:rsidRDefault="00D4092B" w:rsidP="00F07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perspectives. 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recognize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suggests some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most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</w:tc>
        <w:tc>
          <w:tcPr>
            <w:tcW w:w="2015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explains </w:t>
            </w:r>
            <w:r>
              <w:rPr>
                <w:rFonts w:asciiTheme="minorHAnsi" w:hAnsiTheme="minorHAnsi"/>
                <w:sz w:val="16"/>
                <w:szCs w:val="16"/>
              </w:rPr>
              <w:t>their implications.</w:t>
            </w:r>
          </w:p>
        </w:tc>
      </w:tr>
    </w:tbl>
    <w:p w:rsidR="000B1071" w:rsidRDefault="00277134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  <w:r w:rsidRPr="00277134">
        <w:rPr>
          <w:rFonts w:ascii="Calibri" w:hAnsi="Calibri" w:cs="Calibri"/>
          <w:sz w:val="24"/>
        </w:rPr>
        <w:lastRenderedPageBreak/>
        <w:t xml:space="preserve">Name: </w:t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</w:rPr>
        <w:tab/>
      </w:r>
      <w:r w:rsidRPr="00277134">
        <w:rPr>
          <w:rFonts w:ascii="Calibri" w:hAnsi="Calibri" w:cs="Calibri"/>
          <w:sz w:val="24"/>
        </w:rPr>
        <w:tab/>
        <w:t xml:space="preserve">Block: </w:t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</w:p>
    <w:p w:rsidR="00277134" w:rsidRDefault="00277134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</w:p>
    <w:tbl>
      <w:tblPr>
        <w:tblStyle w:val="TableGrid"/>
        <w:tblW w:w="1119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494"/>
        <w:gridCol w:w="2494"/>
        <w:gridCol w:w="2494"/>
        <w:gridCol w:w="2015"/>
      </w:tblGrid>
      <w:tr w:rsidR="00277134" w:rsidRPr="00A124FA" w:rsidTr="00AB5273">
        <w:tc>
          <w:tcPr>
            <w:tcW w:w="11199" w:type="dxa"/>
            <w:gridSpan w:val="5"/>
            <w:shd w:val="clear" w:color="auto" w:fill="D9D9D9" w:themeFill="background1" w:themeFillShade="D9"/>
          </w:tcPr>
          <w:p w:rsidR="00277134" w:rsidRPr="00A124FA" w:rsidRDefault="00277134" w:rsidP="00AB52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B: Investigating</w:t>
            </w:r>
          </w:p>
        </w:tc>
      </w:tr>
      <w:tr w:rsidR="00277134" w:rsidRPr="00A124FA" w:rsidTr="00AB5273">
        <w:trPr>
          <w:trHeight w:val="113"/>
        </w:trPr>
        <w:tc>
          <w:tcPr>
            <w:tcW w:w="1702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277134" w:rsidRPr="00F5076E" w:rsidTr="00AB5273">
        <w:trPr>
          <w:trHeight w:val="1031"/>
        </w:trPr>
        <w:tc>
          <w:tcPr>
            <w:tcW w:w="1702" w:type="dxa"/>
          </w:tcPr>
          <w:p w:rsidR="00277134" w:rsidRPr="00D17FBF" w:rsidRDefault="00277134" w:rsidP="00AB5273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collect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record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limited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irrelevant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 method(s)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5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277134" w:rsidRPr="00A124FA" w:rsidTr="00AB5273">
        <w:tc>
          <w:tcPr>
            <w:tcW w:w="11199" w:type="dxa"/>
            <w:gridSpan w:val="5"/>
            <w:shd w:val="clear" w:color="auto" w:fill="D9D9D9" w:themeFill="background1" w:themeFillShade="D9"/>
          </w:tcPr>
          <w:p w:rsidR="00277134" w:rsidRPr="00A124FA" w:rsidRDefault="00277134" w:rsidP="00AB527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277134" w:rsidRPr="00A124FA" w:rsidTr="00AB5273">
        <w:tc>
          <w:tcPr>
            <w:tcW w:w="1702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277134" w:rsidRPr="00F5076E" w:rsidTr="00AB5273">
        <w:tc>
          <w:tcPr>
            <w:tcW w:w="1702" w:type="dxa"/>
          </w:tcPr>
          <w:p w:rsidR="00277134" w:rsidRPr="00401111" w:rsidRDefault="00277134" w:rsidP="00AB5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not always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</w:tc>
      </w:tr>
      <w:tr w:rsidR="00277134" w:rsidRPr="00A124FA" w:rsidTr="00AB5273">
        <w:tc>
          <w:tcPr>
            <w:tcW w:w="11199" w:type="dxa"/>
            <w:gridSpan w:val="5"/>
            <w:shd w:val="clear" w:color="auto" w:fill="D9D9D9" w:themeFill="background1" w:themeFillShade="D9"/>
          </w:tcPr>
          <w:p w:rsidR="00277134" w:rsidRPr="00A124FA" w:rsidRDefault="00277134" w:rsidP="00AB5273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Thinking Critically</w:t>
            </w:r>
          </w:p>
        </w:tc>
      </w:tr>
      <w:tr w:rsidR="00277134" w:rsidRPr="00A124FA" w:rsidTr="00AB5273">
        <w:tc>
          <w:tcPr>
            <w:tcW w:w="1702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277134" w:rsidRPr="00F5076E" w:rsidTr="00AB5273">
        <w:tc>
          <w:tcPr>
            <w:tcW w:w="1702" w:type="dxa"/>
          </w:tcPr>
          <w:p w:rsidR="00277134" w:rsidRPr="00401111" w:rsidRDefault="00277134" w:rsidP="00AB5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perspectives.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recognize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suggests some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most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</w:tc>
        <w:tc>
          <w:tcPr>
            <w:tcW w:w="2015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explains </w:t>
            </w:r>
            <w:r>
              <w:rPr>
                <w:rFonts w:asciiTheme="minorHAnsi" w:hAnsiTheme="minorHAnsi"/>
                <w:sz w:val="16"/>
                <w:szCs w:val="16"/>
              </w:rPr>
              <w:t>their implications.</w:t>
            </w:r>
          </w:p>
        </w:tc>
      </w:tr>
    </w:tbl>
    <w:p w:rsidR="00277134" w:rsidRDefault="00277134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</w:p>
    <w:p w:rsidR="00277134" w:rsidRDefault="00277134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</w:p>
    <w:p w:rsidR="00277134" w:rsidRDefault="00277134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</w:p>
    <w:p w:rsidR="00277134" w:rsidRDefault="00277134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</w:p>
    <w:p w:rsidR="00277134" w:rsidRDefault="00277134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</w:p>
    <w:p w:rsidR="00277134" w:rsidRDefault="00277134" w:rsidP="00277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  <w:r w:rsidRPr="00277134">
        <w:rPr>
          <w:rFonts w:ascii="Calibri" w:hAnsi="Calibri" w:cs="Calibri"/>
          <w:sz w:val="24"/>
        </w:rPr>
        <w:t xml:space="preserve">Name: </w:t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</w:rPr>
        <w:tab/>
      </w:r>
      <w:r w:rsidRPr="00277134">
        <w:rPr>
          <w:rFonts w:ascii="Calibri" w:hAnsi="Calibri" w:cs="Calibri"/>
          <w:sz w:val="24"/>
        </w:rPr>
        <w:tab/>
        <w:t xml:space="preserve">Block: </w:t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  <w:r w:rsidRPr="00277134">
        <w:rPr>
          <w:rFonts w:ascii="Calibri" w:hAnsi="Calibri" w:cs="Calibri"/>
          <w:sz w:val="24"/>
          <w:u w:val="single"/>
        </w:rPr>
        <w:tab/>
      </w:r>
    </w:p>
    <w:p w:rsidR="00277134" w:rsidRDefault="00277134" w:rsidP="00277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u w:val="single"/>
        </w:rPr>
      </w:pPr>
    </w:p>
    <w:tbl>
      <w:tblPr>
        <w:tblStyle w:val="TableGrid"/>
        <w:tblW w:w="1119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494"/>
        <w:gridCol w:w="2494"/>
        <w:gridCol w:w="2494"/>
        <w:gridCol w:w="2015"/>
      </w:tblGrid>
      <w:tr w:rsidR="00277134" w:rsidRPr="00A124FA" w:rsidTr="00AB5273">
        <w:tc>
          <w:tcPr>
            <w:tcW w:w="11199" w:type="dxa"/>
            <w:gridSpan w:val="5"/>
            <w:shd w:val="clear" w:color="auto" w:fill="D9D9D9" w:themeFill="background1" w:themeFillShade="D9"/>
          </w:tcPr>
          <w:p w:rsidR="00277134" w:rsidRPr="00A124FA" w:rsidRDefault="00277134" w:rsidP="00AB52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B: Investigating</w:t>
            </w:r>
          </w:p>
        </w:tc>
      </w:tr>
      <w:tr w:rsidR="00277134" w:rsidRPr="00A124FA" w:rsidTr="00AB5273">
        <w:trPr>
          <w:trHeight w:val="113"/>
        </w:trPr>
        <w:tc>
          <w:tcPr>
            <w:tcW w:w="1702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277134" w:rsidRPr="00F5076E" w:rsidTr="00AB5273">
        <w:trPr>
          <w:trHeight w:val="1031"/>
        </w:trPr>
        <w:tc>
          <w:tcPr>
            <w:tcW w:w="1702" w:type="dxa"/>
          </w:tcPr>
          <w:p w:rsidR="00277134" w:rsidRPr="00D17FBF" w:rsidRDefault="00277134" w:rsidP="00AB5273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collect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record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limited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irrelevant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 method(s)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5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277134" w:rsidRPr="00A124FA" w:rsidTr="00AB5273">
        <w:tc>
          <w:tcPr>
            <w:tcW w:w="11199" w:type="dxa"/>
            <w:gridSpan w:val="5"/>
            <w:shd w:val="clear" w:color="auto" w:fill="D9D9D9" w:themeFill="background1" w:themeFillShade="D9"/>
          </w:tcPr>
          <w:p w:rsidR="00277134" w:rsidRPr="00A124FA" w:rsidRDefault="00277134" w:rsidP="00AB527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277134" w:rsidRPr="00A124FA" w:rsidTr="00AB5273">
        <w:tc>
          <w:tcPr>
            <w:tcW w:w="1702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277134" w:rsidRPr="00F5076E" w:rsidTr="00AB5273">
        <w:tc>
          <w:tcPr>
            <w:tcW w:w="1702" w:type="dxa"/>
          </w:tcPr>
          <w:p w:rsidR="00277134" w:rsidRPr="00401111" w:rsidRDefault="00277134" w:rsidP="00AB5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not always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</w:tc>
      </w:tr>
      <w:tr w:rsidR="00277134" w:rsidRPr="00A124FA" w:rsidTr="00AB5273">
        <w:tc>
          <w:tcPr>
            <w:tcW w:w="11199" w:type="dxa"/>
            <w:gridSpan w:val="5"/>
            <w:shd w:val="clear" w:color="auto" w:fill="D9D9D9" w:themeFill="background1" w:themeFillShade="D9"/>
          </w:tcPr>
          <w:p w:rsidR="00277134" w:rsidRPr="00A124FA" w:rsidRDefault="00277134" w:rsidP="00AB5273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Thinking Critically</w:t>
            </w:r>
          </w:p>
        </w:tc>
      </w:tr>
      <w:tr w:rsidR="00277134" w:rsidRPr="00A124FA" w:rsidTr="00AB5273">
        <w:tc>
          <w:tcPr>
            <w:tcW w:w="1702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277134" w:rsidRPr="00A124FA" w:rsidRDefault="00277134" w:rsidP="00AB527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277134" w:rsidRPr="00F5076E" w:rsidTr="00AB5273">
        <w:tc>
          <w:tcPr>
            <w:tcW w:w="1702" w:type="dxa"/>
          </w:tcPr>
          <w:p w:rsidR="00277134" w:rsidRPr="00401111" w:rsidRDefault="00277134" w:rsidP="00AB5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perspectives.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recognize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suggests some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most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</w:tc>
        <w:tc>
          <w:tcPr>
            <w:tcW w:w="2015" w:type="dxa"/>
          </w:tcPr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277134" w:rsidRDefault="00277134" w:rsidP="00AB527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277134" w:rsidRPr="00F5076E" w:rsidRDefault="00277134" w:rsidP="00AB527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explains </w:t>
            </w:r>
            <w:r>
              <w:rPr>
                <w:rFonts w:asciiTheme="minorHAnsi" w:hAnsiTheme="minorHAnsi"/>
                <w:sz w:val="16"/>
                <w:szCs w:val="16"/>
              </w:rPr>
              <w:t>their implications.</w:t>
            </w:r>
          </w:p>
        </w:tc>
      </w:tr>
    </w:tbl>
    <w:p w:rsidR="00277134" w:rsidRPr="00277134" w:rsidRDefault="00277134" w:rsidP="00277134">
      <w:pPr>
        <w:ind w:firstLine="720"/>
        <w:rPr>
          <w:rFonts w:ascii="Calibri" w:hAnsi="Calibri" w:cs="Calibri"/>
          <w:sz w:val="24"/>
        </w:rPr>
      </w:pPr>
    </w:p>
    <w:sectPr w:rsidR="00277134" w:rsidRPr="0027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EE" w:rsidRDefault="008539EE" w:rsidP="000B1071">
      <w:pPr>
        <w:spacing w:after="0" w:line="240" w:lineRule="auto"/>
      </w:pPr>
      <w:r>
        <w:separator/>
      </w:r>
    </w:p>
  </w:endnote>
  <w:endnote w:type="continuationSeparator" w:id="0">
    <w:p w:rsidR="008539EE" w:rsidRDefault="008539EE" w:rsidP="000B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EE" w:rsidRDefault="008539EE" w:rsidP="000B1071">
      <w:pPr>
        <w:spacing w:after="0" w:line="240" w:lineRule="auto"/>
      </w:pPr>
      <w:r>
        <w:separator/>
      </w:r>
    </w:p>
  </w:footnote>
  <w:footnote w:type="continuationSeparator" w:id="0">
    <w:p w:rsidR="008539EE" w:rsidRDefault="008539EE" w:rsidP="000B1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71"/>
    <w:rsid w:val="000B1071"/>
    <w:rsid w:val="00277134"/>
    <w:rsid w:val="0050627E"/>
    <w:rsid w:val="00562073"/>
    <w:rsid w:val="005B48B0"/>
    <w:rsid w:val="008539EE"/>
    <w:rsid w:val="00A97A14"/>
    <w:rsid w:val="00C968C5"/>
    <w:rsid w:val="00D4092B"/>
    <w:rsid w:val="00E07906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71"/>
  </w:style>
  <w:style w:type="paragraph" w:styleId="Footer">
    <w:name w:val="footer"/>
    <w:basedOn w:val="Normal"/>
    <w:link w:val="Foot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71"/>
  </w:style>
  <w:style w:type="paragraph" w:customStyle="1" w:styleId="Default">
    <w:name w:val="Default"/>
    <w:rsid w:val="000B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0B1071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5B4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71"/>
  </w:style>
  <w:style w:type="paragraph" w:styleId="Footer">
    <w:name w:val="footer"/>
    <w:basedOn w:val="Normal"/>
    <w:link w:val="Foot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71"/>
  </w:style>
  <w:style w:type="paragraph" w:customStyle="1" w:styleId="Default">
    <w:name w:val="Default"/>
    <w:rsid w:val="000B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0B1071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5B4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2015-09-24T23:23:00Z</cp:lastPrinted>
  <dcterms:created xsi:type="dcterms:W3CDTF">2016-04-16T20:54:00Z</dcterms:created>
  <dcterms:modified xsi:type="dcterms:W3CDTF">2016-04-16T20:54:00Z</dcterms:modified>
</cp:coreProperties>
</file>